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2A" w:rsidRDefault="00420F7F" w:rsidP="0045042A">
      <w:pPr>
        <w:ind w:firstLine="0"/>
        <w:rPr>
          <w:b/>
          <w:sz w:val="24"/>
          <w:szCs w:val="24"/>
        </w:rPr>
      </w:pPr>
      <w:r>
        <w:rPr>
          <w:b/>
          <w:sz w:val="24"/>
          <w:szCs w:val="24"/>
        </w:rPr>
        <w:t>Exhibit</w:t>
      </w:r>
      <w:r w:rsidR="0045042A">
        <w:rPr>
          <w:b/>
          <w:sz w:val="24"/>
          <w:szCs w:val="24"/>
        </w:rPr>
        <w:t>: Example of Strategic Plan Format for Measures, Objectives and Notes</w:t>
      </w:r>
    </w:p>
    <w:p w:rsidR="0045042A" w:rsidRDefault="0045042A" w:rsidP="0045042A">
      <w:pPr>
        <w:ind w:firstLine="0"/>
      </w:pPr>
    </w:p>
    <w:p w:rsidR="0045042A" w:rsidRDefault="0045042A" w:rsidP="0045042A">
      <w:pPr>
        <w:ind w:firstLine="0"/>
        <w:rPr>
          <w:b/>
          <w:sz w:val="28"/>
          <w:szCs w:val="28"/>
        </w:rPr>
      </w:pPr>
      <w:r>
        <w:rPr>
          <w:b/>
          <w:sz w:val="28"/>
          <w:szCs w:val="28"/>
        </w:rPr>
        <w:t>Goal 1</w:t>
      </w:r>
    </w:p>
    <w:p w:rsidR="0045042A" w:rsidRDefault="0045042A" w:rsidP="0045042A">
      <w:pPr>
        <w:ind w:firstLine="0"/>
      </w:pPr>
    </w:p>
    <w:p w:rsidR="0045042A" w:rsidRDefault="0045042A" w:rsidP="0045042A">
      <w:pPr>
        <w:ind w:firstLine="0"/>
      </w:pPr>
      <w:r>
        <w:t>Continually improve the safety of the riding public.</w:t>
      </w:r>
    </w:p>
    <w:p w:rsidR="0045042A" w:rsidRDefault="0045042A" w:rsidP="0045042A">
      <w:pPr>
        <w:ind w:firstLine="0"/>
      </w:pPr>
    </w:p>
    <w:p w:rsidR="0045042A" w:rsidRDefault="0045042A" w:rsidP="0045042A">
      <w:pPr>
        <w:ind w:firstLine="0"/>
        <w:rPr>
          <w:b/>
          <w:sz w:val="28"/>
          <w:szCs w:val="28"/>
        </w:rPr>
      </w:pPr>
      <w:r>
        <w:rPr>
          <w:b/>
          <w:sz w:val="28"/>
          <w:szCs w:val="28"/>
        </w:rPr>
        <w:t>Objectives</w:t>
      </w:r>
    </w:p>
    <w:p w:rsidR="0045042A" w:rsidRDefault="0045042A" w:rsidP="0045042A">
      <w:pPr>
        <w:ind w:firstLine="0"/>
      </w:pPr>
    </w:p>
    <w:tbl>
      <w:tblPr>
        <w:tblStyle w:val="TableGrid"/>
        <w:tblW w:w="0" w:type="auto"/>
        <w:tblLook w:val="04A0"/>
      </w:tblPr>
      <w:tblGrid>
        <w:gridCol w:w="495"/>
        <w:gridCol w:w="6003"/>
        <w:gridCol w:w="1530"/>
        <w:gridCol w:w="1548"/>
      </w:tblGrid>
      <w:tr w:rsidR="0045042A" w:rsidTr="0045042A">
        <w:tc>
          <w:tcPr>
            <w:tcW w:w="49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5042A" w:rsidRDefault="0045042A">
            <w:pPr>
              <w:ind w:firstLine="0"/>
            </w:pPr>
            <w:r>
              <w:t>#</w:t>
            </w:r>
          </w:p>
        </w:tc>
        <w:tc>
          <w:tcPr>
            <w:tcW w:w="6003"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5042A" w:rsidRDefault="0045042A">
            <w:pPr>
              <w:ind w:firstLine="0"/>
            </w:pPr>
            <w:r>
              <w:t>Measure</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5042A" w:rsidRDefault="0045042A">
            <w:pPr>
              <w:ind w:firstLine="0"/>
            </w:pPr>
            <w:r>
              <w:t>2013-15 Objective</w:t>
            </w:r>
          </w:p>
        </w:tc>
        <w:tc>
          <w:tcPr>
            <w:tcW w:w="154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45042A" w:rsidRDefault="0045042A">
            <w:pPr>
              <w:ind w:firstLine="0"/>
            </w:pPr>
            <w:r>
              <w:t>Target Date(s)</w:t>
            </w:r>
          </w:p>
        </w:tc>
      </w:tr>
      <w:tr w:rsidR="0045042A" w:rsidTr="0045042A">
        <w:tc>
          <w:tcPr>
            <w:tcW w:w="495"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1.1</w:t>
            </w:r>
          </w:p>
        </w:tc>
        <w:tc>
          <w:tcPr>
            <w:tcW w:w="6003"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 routine elevator inspections completed annually within 30 days of the annual inspection date.</w:t>
            </w:r>
          </w:p>
        </w:tc>
        <w:tc>
          <w:tcPr>
            <w:tcW w:w="1530"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100%</w:t>
            </w:r>
          </w:p>
        </w:tc>
        <w:tc>
          <w:tcPr>
            <w:tcW w:w="1548"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April 30</w:t>
            </w:r>
          </w:p>
          <w:p w:rsidR="0045042A" w:rsidRDefault="0045042A">
            <w:pPr>
              <w:ind w:firstLine="0"/>
            </w:pPr>
            <w:r>
              <w:t>June 30</w:t>
            </w:r>
          </w:p>
        </w:tc>
      </w:tr>
      <w:tr w:rsidR="0045042A" w:rsidTr="0045042A">
        <w:tc>
          <w:tcPr>
            <w:tcW w:w="495"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1.2</w:t>
            </w:r>
          </w:p>
        </w:tc>
        <w:tc>
          <w:tcPr>
            <w:tcW w:w="6003"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 xml:space="preserve"># </w:t>
            </w:r>
            <w:proofErr w:type="gramStart"/>
            <w:r>
              <w:t>safety</w:t>
            </w:r>
            <w:proofErr w:type="gramEnd"/>
            <w:r>
              <w:t xml:space="preserve"> meetings with each amusement company submitting a location notice to inspect 15 or more rides.</w:t>
            </w:r>
          </w:p>
        </w:tc>
        <w:tc>
          <w:tcPr>
            <w:tcW w:w="1530"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At least 1</w:t>
            </w:r>
          </w:p>
        </w:tc>
        <w:tc>
          <w:tcPr>
            <w:tcW w:w="1548"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April 30</w:t>
            </w:r>
          </w:p>
        </w:tc>
      </w:tr>
      <w:tr w:rsidR="0045042A" w:rsidTr="0045042A">
        <w:tc>
          <w:tcPr>
            <w:tcW w:w="495"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1.3</w:t>
            </w:r>
          </w:p>
        </w:tc>
        <w:tc>
          <w:tcPr>
            <w:tcW w:w="6003"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 xml:space="preserve"># </w:t>
            </w:r>
            <w:proofErr w:type="gramStart"/>
            <w:r>
              <w:t>operational</w:t>
            </w:r>
            <w:proofErr w:type="gramEnd"/>
            <w:r>
              <w:t xml:space="preserve"> checks with each amusement company submitting a location notice to inspect 15 or more rides.</w:t>
            </w:r>
          </w:p>
        </w:tc>
        <w:tc>
          <w:tcPr>
            <w:tcW w:w="1530"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At least 1</w:t>
            </w:r>
          </w:p>
        </w:tc>
        <w:tc>
          <w:tcPr>
            <w:tcW w:w="1548"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April 30</w:t>
            </w:r>
          </w:p>
        </w:tc>
      </w:tr>
      <w:tr w:rsidR="0045042A" w:rsidTr="0045042A">
        <w:tc>
          <w:tcPr>
            <w:tcW w:w="495"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1.4</w:t>
            </w:r>
          </w:p>
        </w:tc>
        <w:tc>
          <w:tcPr>
            <w:tcW w:w="6003"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 xml:space="preserve"># </w:t>
            </w:r>
            <w:proofErr w:type="gramStart"/>
            <w:r>
              <w:t>agricultural</w:t>
            </w:r>
            <w:proofErr w:type="gramEnd"/>
            <w:r>
              <w:t xml:space="preserve"> fair partners performing operational checks and collecting non-reportable accident information.</w:t>
            </w:r>
          </w:p>
        </w:tc>
        <w:tc>
          <w:tcPr>
            <w:tcW w:w="1530"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At least 9</w:t>
            </w:r>
          </w:p>
        </w:tc>
        <w:tc>
          <w:tcPr>
            <w:tcW w:w="1548" w:type="dxa"/>
            <w:tcBorders>
              <w:top w:val="single" w:sz="4" w:space="0" w:color="auto"/>
              <w:left w:val="single" w:sz="4" w:space="0" w:color="auto"/>
              <w:bottom w:val="single" w:sz="4" w:space="0" w:color="auto"/>
              <w:right w:val="single" w:sz="4" w:space="0" w:color="auto"/>
            </w:tcBorders>
            <w:hideMark/>
          </w:tcPr>
          <w:p w:rsidR="0045042A" w:rsidRDefault="0045042A">
            <w:pPr>
              <w:ind w:firstLine="0"/>
            </w:pPr>
            <w:r>
              <w:t>April 30</w:t>
            </w:r>
          </w:p>
        </w:tc>
      </w:tr>
    </w:tbl>
    <w:p w:rsidR="0045042A" w:rsidRDefault="0045042A" w:rsidP="0045042A">
      <w:pPr>
        <w:ind w:firstLine="0"/>
      </w:pPr>
    </w:p>
    <w:p w:rsidR="0045042A" w:rsidRDefault="0045042A" w:rsidP="0045042A">
      <w:pPr>
        <w:ind w:firstLine="0"/>
        <w:rPr>
          <w:b/>
          <w:color w:val="000000"/>
          <w:sz w:val="28"/>
          <w:szCs w:val="28"/>
        </w:rPr>
      </w:pPr>
      <w:r>
        <w:rPr>
          <w:b/>
          <w:color w:val="000000"/>
          <w:sz w:val="28"/>
          <w:szCs w:val="28"/>
        </w:rPr>
        <w:t>Notes:</w:t>
      </w:r>
    </w:p>
    <w:p w:rsidR="0045042A" w:rsidRDefault="0045042A" w:rsidP="0045042A">
      <w:pPr>
        <w:ind w:firstLine="0"/>
        <w:rPr>
          <w:rFonts w:ascii="Verdana" w:hAnsi="Verdana"/>
          <w:color w:val="000000"/>
        </w:rPr>
      </w:pPr>
    </w:p>
    <w:p w:rsidR="0045042A" w:rsidRDefault="0045042A" w:rsidP="0045042A">
      <w:pPr>
        <w:pStyle w:val="ListParagraph"/>
        <w:numPr>
          <w:ilvl w:val="1"/>
          <w:numId w:val="1"/>
        </w:numPr>
      </w:pPr>
      <w:r>
        <w:t>Routine inspections are conducted a year after the last annual inspection of elevators, escalators, handicap lifts, dumbwaiters and tramways. All amusement rides, new elevators and altered and repaired elevators have to be inspected upon request. Inspectors have to complete routine inspections as their schedules permit. (See the operational definition for routine inspections.)</w:t>
      </w:r>
    </w:p>
    <w:p w:rsidR="0045042A" w:rsidRDefault="0045042A" w:rsidP="0045042A">
      <w:pPr>
        <w:pStyle w:val="ListParagraph"/>
        <w:numPr>
          <w:ilvl w:val="1"/>
          <w:numId w:val="1"/>
        </w:numPr>
      </w:pPr>
      <w:r>
        <w:t>Safety meetings are conducted once a year at permanent parks and at least once with any traveling amusement show that sets up at a location with 15 or more rides. These meetings are for the amusement company’s ride operators and attendants. These safety meetings are conducted by a field supervisor or a senior inspector. The objective of the meeting is to increase safety awareness and participants are given a handout in English and Spanish that contains safety pointers. Once a safety meeting is completed it is reported to the amusement ride processing assistant in the Raleigh office who keeps track of such meetings on an excel chart.</w:t>
      </w:r>
    </w:p>
    <w:p w:rsidR="0045042A" w:rsidRDefault="0045042A" w:rsidP="0045042A">
      <w:pPr>
        <w:pStyle w:val="ListParagraph"/>
        <w:numPr>
          <w:ilvl w:val="1"/>
          <w:numId w:val="1"/>
        </w:numPr>
      </w:pPr>
      <w:r>
        <w:t>After an inspection is completed and the amusement ride is open to patrons, operational checks are conducted by inspectors at least once at any location with 15 or more rides. The inspector goes on site to observe the ride operators to make sure the ride is being operated correctly. Any ride not being properly operated can be shut-down by the inspector. Any infractions and hazards are reported to the amusement company to be corrected. Inspectors complete a site visit form which is then sent to the amusement ride processing assistant to be recorded on an excel chart.</w:t>
      </w:r>
    </w:p>
    <w:p w:rsidR="00432E19" w:rsidRDefault="0045042A" w:rsidP="00420F7F">
      <w:pPr>
        <w:pStyle w:val="ListParagraph"/>
        <w:numPr>
          <w:ilvl w:val="1"/>
          <w:numId w:val="1"/>
        </w:numPr>
      </w:pPr>
      <w:r>
        <w:t>There are 47 agricultural fairs that take place between the months of August and October which place a large demand on our inspection staff. The Bureau encourages agricultural fairs to sign a 3-year agreement to perform operational checks at least once a day during the fair and to collect non-reportable accident information (accidents not requiring first aid). Fair partners are provided forms for reporting and they are mailed to the Raleigh office at the conclusion of the fair. The amusement ride processing assistant maintains an excel chart on the information for reporting purposes.</w:t>
      </w:r>
    </w:p>
    <w:sectPr w:rsidR="00432E19" w:rsidSect="00432E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16C"/>
    <w:multiLevelType w:val="multilevel"/>
    <w:tmpl w:val="0EB470B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45042A"/>
    <w:rsid w:val="000B7694"/>
    <w:rsid w:val="00294EE9"/>
    <w:rsid w:val="00420F7F"/>
    <w:rsid w:val="00432E19"/>
    <w:rsid w:val="0045042A"/>
    <w:rsid w:val="0085742B"/>
    <w:rsid w:val="00C26955"/>
    <w:rsid w:val="00CB6A44"/>
    <w:rsid w:val="00D727A1"/>
    <w:rsid w:val="00F77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2A"/>
    <w:pPr>
      <w:spacing w:after="0" w:line="240" w:lineRule="auto"/>
      <w:ind w:firstLine="360"/>
    </w:pPr>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42A"/>
    <w:pPr>
      <w:ind w:left="720"/>
      <w:contextualSpacing/>
    </w:pPr>
  </w:style>
  <w:style w:type="table" w:styleId="TableGrid">
    <w:name w:val="Table Grid"/>
    <w:basedOn w:val="TableNormal"/>
    <w:uiPriority w:val="59"/>
    <w:rsid w:val="0045042A"/>
    <w:pPr>
      <w:spacing w:after="0" w:line="240" w:lineRule="auto"/>
      <w:ind w:firstLine="360"/>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88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Frazier</dc:creator>
  <cp:keywords/>
  <dc:description/>
  <cp:lastModifiedBy>mafrazier</cp:lastModifiedBy>
  <cp:revision>5</cp:revision>
  <dcterms:created xsi:type="dcterms:W3CDTF">2013-06-11T17:58:00Z</dcterms:created>
  <dcterms:modified xsi:type="dcterms:W3CDTF">2014-07-29T13:19:00Z</dcterms:modified>
</cp:coreProperties>
</file>